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7C" w:rsidRDefault="00E5432C" w:rsidP="006C557C">
      <w:pPr>
        <w:pStyle w:val="Style1"/>
        <w:widowControl/>
        <w:rPr>
          <w:rStyle w:val="FontStyle11"/>
        </w:rPr>
      </w:pPr>
      <w:r>
        <w:rPr>
          <w:rFonts w:cs="Bookman Old Style"/>
          <w:b/>
          <w:bCs/>
          <w:noProof/>
          <w:spacing w:val="-1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href="http://images.yandex.ru/yandsearch?source=wiz&amp;text=%D0%BA%D0%B0%D1%80%D1%82%D0%B8%D0%BD%D0%BA%D0%B8%20%D0%BE%20%D0%B7%D0%B4%D0%BE%D1%80%D0%BE%D0%B2%D1%8C%D0%B5&amp;noreask=1&amp;img_url=http%3A%2F%2Fthesilverraefoxnetworksuperstars.files.wordpress.com%2F2010%2F02%2Fsmiley-doctor1.jpg&amp;pos=6&amp;rpt=simage&amp;lr=48" target="&quot;_blank&quot;" style="position:absolute;left:0;text-align:left;margin-left:616.3pt;margin-top:-26.05pt;width:118.9pt;height:112.35pt;z-index:-1" o:button="t">
            <v:imagedata r:id="rId7" o:title="i?id=274272564-00-72&amp;n=21"/>
          </v:shape>
        </w:pict>
      </w:r>
      <w:r w:rsidRPr="00E5432C">
        <w:rPr>
          <w:rStyle w:val="FontStyle1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9.15pt;height:33.15pt" fillcolor="red" strokecolor="red" strokeweight="1pt">
            <v:fill opacity=".5"/>
            <v:shadow on="t" color="#99f" offset="3pt"/>
            <v:textpath style="font-family:&quot;Arial Black&quot;;font-size:28pt;v-text-kern:t" trim="t" fitpath="t" string="Пищевая токсикоинфекция"/>
          </v:shape>
        </w:pict>
      </w:r>
    </w:p>
    <w:p w:rsidR="008B5F04" w:rsidRDefault="008B5F04" w:rsidP="008B5F04">
      <w:pPr>
        <w:pStyle w:val="Style1"/>
        <w:widowControl/>
        <w:jc w:val="left"/>
        <w:rPr>
          <w:rStyle w:val="FontStyle11"/>
        </w:rPr>
      </w:pPr>
    </w:p>
    <w:p w:rsidR="008E68D4" w:rsidRPr="006C557C" w:rsidRDefault="008E68D4" w:rsidP="00EF3126">
      <w:pPr>
        <w:pStyle w:val="Style2"/>
        <w:widowControl/>
        <w:spacing w:before="197" w:line="360" w:lineRule="auto"/>
        <w:ind w:right="1037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Пищевая токсикоинфекция развивается после употребления в пищу продуктов, инфицированных патогенными и условно-патогенными микроорганизмами.</w:t>
      </w:r>
    </w:p>
    <w:p w:rsidR="008E68D4" w:rsidRPr="006C557C" w:rsidRDefault="006C557C" w:rsidP="00EF3126">
      <w:pPr>
        <w:pStyle w:val="Style2"/>
        <w:widowControl/>
        <w:spacing w:before="202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>Диагноз «пищевая токсико</w:t>
      </w:r>
      <w:r w:rsidR="008E68D4" w:rsidRPr="006C557C">
        <w:rPr>
          <w:rStyle w:val="FontStyle14"/>
          <w:rFonts w:ascii="Times New Roman" w:hAnsi="Times New Roman" w:cs="Times New Roman"/>
          <w:sz w:val="36"/>
          <w:szCs w:val="36"/>
        </w:rPr>
        <w:t>инфекция» - понятие собирательное. Заподозрить такой диагноз можно во всех случаях, когда заболевание началось остро и связано с употреблением пищевых продуктов сомнительного качества.</w:t>
      </w:r>
    </w:p>
    <w:p w:rsidR="008B5F04" w:rsidRDefault="008B5F04" w:rsidP="00EF3126">
      <w:pPr>
        <w:pStyle w:val="Style2"/>
        <w:widowControl/>
        <w:spacing w:before="197" w:line="360" w:lineRule="auto"/>
        <w:ind w:right="1555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Этиология</w:t>
      </w:r>
    </w:p>
    <w:p w:rsidR="008E68D4" w:rsidRPr="006C557C" w:rsidRDefault="008E68D4" w:rsidP="00EF3126">
      <w:pPr>
        <w:pStyle w:val="Style2"/>
        <w:widowControl/>
        <w:spacing w:before="197" w:line="360" w:lineRule="auto"/>
        <w:ind w:right="1555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Пищевая токсикоинфекция чаще всего вызывается сальмонеллами и условно-патогенными возбудителями.</w:t>
      </w:r>
    </w:p>
    <w:p w:rsidR="008B5F04" w:rsidRDefault="008B5F04" w:rsidP="00EF3126">
      <w:pPr>
        <w:pStyle w:val="Style2"/>
        <w:widowControl/>
        <w:spacing w:before="202" w:line="360" w:lineRule="auto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Эпидемиология</w:t>
      </w:r>
    </w:p>
    <w:p w:rsidR="00963792" w:rsidRDefault="008E68D4" w:rsidP="00EF3126">
      <w:pPr>
        <w:pStyle w:val="Style2"/>
        <w:widowControl/>
        <w:spacing w:before="202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Источником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ПТИ являются больные, страдающие гнойными инфекциями (панарициями, фурункулезом, </w:t>
      </w:r>
      <w:r w:rsidR="00EF3126" w:rsidRPr="006C557C">
        <w:rPr>
          <w:rStyle w:val="FontStyle14"/>
          <w:rFonts w:ascii="Times New Roman" w:hAnsi="Times New Roman" w:cs="Times New Roman"/>
          <w:sz w:val="36"/>
          <w:szCs w:val="36"/>
        </w:rPr>
        <w:t>пародонтозом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, стафилококковыми ангинами, пневмония и др.) </w:t>
      </w:r>
    </w:p>
    <w:p w:rsidR="008B5F04" w:rsidRDefault="008E68D4" w:rsidP="00EF3126">
      <w:pPr>
        <w:pStyle w:val="Style2"/>
        <w:widowControl/>
        <w:spacing w:before="202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Механизм передачи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фекально-оральный. </w:t>
      </w:r>
    </w:p>
    <w:p w:rsidR="008E68D4" w:rsidRPr="006C557C" w:rsidRDefault="008E68D4" w:rsidP="00EF3126">
      <w:pPr>
        <w:pStyle w:val="Style2"/>
        <w:widowControl/>
        <w:spacing w:before="202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Пути передачи: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пищевой, водный, контактный.</w:t>
      </w:r>
    </w:p>
    <w:p w:rsidR="008E68D4" w:rsidRPr="006C557C" w:rsidRDefault="008E68D4" w:rsidP="00EF3126">
      <w:pPr>
        <w:pStyle w:val="Style2"/>
        <w:widowControl/>
        <w:spacing w:before="197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3"/>
          <w:rFonts w:ascii="Times New Roman" w:hAnsi="Times New Roman" w:cs="Times New Roman"/>
        </w:rPr>
        <w:t xml:space="preserve">Клиническая картина. </w:t>
      </w: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Инкубационный период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колеблется от 2-4 до 24-48 часов. После кратковременного дискомфорта (неприятные ощущения: вздутие и урчание в животе, тошнота, головная боль, иногда потемнение в глазах, общая слабость, чувство разбитости) в течение первого часа возникают рвота (обычно многократная), периодические боли в животе. Одновременно или несколько позднее появляется вначале жидкий каловый, а затем водянистый, обильный, зловонный стул до 10-15 раз в сутки, иногда без счета, чаще без патологических примесей, реже с примесью слизи и крови. Одновременно возникают симптомы интоксикации: озноб, сопровождающийся повышением температуры тела, сердечно-</w:t>
      </w:r>
      <w:r w:rsidR="00EF3126">
        <w:rPr>
          <w:rStyle w:val="FontStyle14"/>
          <w:rFonts w:ascii="Times New Roman" w:hAnsi="Times New Roman" w:cs="Times New Roman"/>
          <w:sz w:val="36"/>
          <w:szCs w:val="36"/>
        </w:rPr>
        <w:t xml:space="preserve">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сосудистые нарушения (тахикардия, гипотония), бледность кожных покровов; обморочные состояния.</w:t>
      </w:r>
    </w:p>
    <w:p w:rsidR="008E68D4" w:rsidRPr="006C557C" w:rsidRDefault="008E68D4" w:rsidP="00EF3126">
      <w:pPr>
        <w:pStyle w:val="Style2"/>
        <w:widowControl/>
        <w:spacing w:before="211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Тяжесть состояния больных обусловлена интоксикацией и степенью обезвоживания, связанного с потерей жидкости и солей с испражнениями и рвотой.</w:t>
      </w:r>
    </w:p>
    <w:p w:rsidR="008E68D4" w:rsidRPr="006C557C" w:rsidRDefault="008E68D4" w:rsidP="00EF3126">
      <w:pPr>
        <w:pStyle w:val="Style2"/>
        <w:widowControl/>
        <w:spacing w:before="202" w:line="360" w:lineRule="auto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3"/>
          <w:rFonts w:ascii="Times New Roman" w:hAnsi="Times New Roman" w:cs="Times New Roman"/>
        </w:rPr>
        <w:t xml:space="preserve">Профилактика.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Основными мерами предупреждения болезни являются: строгое соблюдение санитарных норм и правил при заготовке, транспортировке и хранении пищевых продуктов, следование санитарным и технологическим правилам приготовления и использования готовой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lastRenderedPageBreak/>
        <w:t>пищи, соблюдение личной гигиены персоналом пищевых предприятий. В частности, все скоропортящиеся продукты должны храниться в холодильной камере. Разделку мяса и рыбы (сырого продукта или полуфабриката) необходимо проводить на различных столах (досках) разными ножами: хранение и перевозку готовой пищи нужно осуществлять в чистой посуде, ошпаренной кипятком; пищу следует раздавать непосредственно после термической обработки. При раздаче пищи через несколько часов после ее приготовления необходимо подвергнуть ее термической обработке.</w:t>
      </w:r>
    </w:p>
    <w:p w:rsidR="006C557C" w:rsidRDefault="00E5432C" w:rsidP="008E68D4">
      <w:pPr>
        <w:pStyle w:val="Style1"/>
        <w:widowControl/>
        <w:ind w:left="2563"/>
        <w:jc w:val="both"/>
        <w:rPr>
          <w:rStyle w:val="FontStyle12"/>
        </w:rPr>
      </w:pPr>
      <w:r w:rsidRPr="00E5432C">
        <w:rPr>
          <w:rFonts w:cstheme="minorBidi"/>
          <w:noProof/>
        </w:rPr>
        <w:pict>
          <v:shape id="_x0000_s1030" type="#_x0000_t75" alt="" href="http://images.yandex.ru/yandsearch?img_url=http%3A%2F%2Fwww.medicus.ru%2Fimages%2Fupload%2F50791.jpg&amp;iorient=&amp;ih=&amp;icolor=&amp;site=&amp;text=%D0%BA%D0%B0%D1%80%D1%82%D0%B8%D0%BD%D0%BA%D0%B8%20%D0%BE%20%D0%BF%D0%B8%D1%89%D0%B5%D0%B2%D0%BE%D0%B9%20%D1%82%D0%BE%D0%BA%D1%81%D0%B8%D0%BA%D0%BE%D0%B8%D0%BD%D1%84%D0%B5%D0%BA%D1%86%D0%B8%D0%B8&amp;iw=&amp;wp=&amp;pos=3&amp;recent=&amp;type=&amp;isize=&amp;rpt=simage&amp;itype=" target="&quot;_blank&quot;" style="position:absolute;left:0;text-align:left;margin-left:461.45pt;margin-top:9.6pt;width:238.9pt;height:185.6pt;z-index:2" o:button="t" stroked="t" strokecolor="#00b050" strokeweight="1.5pt">
            <v:stroke dashstyle="1 1" endcap="round"/>
            <v:imagedata r:id="rId8" o:title="i?id=113806737-09-72&amp;n=21" gain="109227f"/>
          </v:shape>
        </w:pict>
      </w:r>
      <w:r w:rsidRPr="00E5432C">
        <w:rPr>
          <w:rFonts w:cstheme="minorBidi"/>
          <w:noProof/>
        </w:rPr>
        <w:pict>
          <v:shape id="_x0000_s1029" type="#_x0000_t75" alt="" href="http://images.yandex.ru/yandsearch?img_url=http%3A%2F%2F0.tqn.com%2Fd%2Fnutrition%2F1%2FG%2Ft%2FA%2FiStock_000001362313Small.jpg&amp;iorient=&amp;ih=&amp;icolor=&amp;site=&amp;text=%D0%BA%D0%B0%D1%80%D1%82%D0%B8%D0%BD%D0%BA%D0%B8%20%D0%BE%20%D0%BF%D0%B8%D1%89%D0%B5%D0%B2%D0%BE%D0%B9%20%D1%82%D0%BE%D0%BA%D1%81%D0%B8%D0%BA%D0%BE%D0%B8%D0%BD%D1%84%D0%B5%D0%BA%D1%86%D0%B8%D0%B8&amp;iw=&amp;wp=&amp;pos=23&amp;recent=&amp;type=&amp;isize=&amp;rpt=simage&amp;itype=" target="&quot;_blank&quot;" style="position:absolute;left:0;text-align:left;margin-left:-3.4pt;margin-top:9.6pt;width:276.15pt;height:177.75pt;z-index:1" o:button="t" stroked="t" strokecolor="#00b050" strokeweight="1.5pt">
            <v:stroke dashstyle="1 1" endcap="round"/>
            <v:imagedata r:id="rId9" o:title="i?id=142445353-39-72&amp;n=21" gain="1.25"/>
          </v:shape>
        </w:pict>
      </w: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963792" w:rsidP="00963792">
      <w:pPr>
        <w:pStyle w:val="Style1"/>
        <w:widowControl/>
        <w:tabs>
          <w:tab w:val="left" w:pos="6436"/>
        </w:tabs>
        <w:ind w:left="2563"/>
        <w:jc w:val="both"/>
        <w:rPr>
          <w:rStyle w:val="FontStyle12"/>
        </w:rPr>
      </w:pPr>
      <w:r>
        <w:rPr>
          <w:rStyle w:val="FontStyle12"/>
        </w:rPr>
        <w:tab/>
        <w:t xml:space="preserve">                 </w:t>
      </w: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  <w:bookmarkStart w:id="0" w:name="_GoBack"/>
      <w:bookmarkEnd w:id="0"/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751637" w:rsidRPr="008E68D4" w:rsidRDefault="00751637" w:rsidP="008E68D4"/>
    <w:sectPr w:rsidR="00751637" w:rsidRPr="008E68D4" w:rsidSect="006C557C">
      <w:type w:val="continuous"/>
      <w:pgSz w:w="16837" w:h="23810"/>
      <w:pgMar w:top="1418" w:right="1528" w:bottom="1440" w:left="1418" w:header="720" w:footer="720" w:gutter="0"/>
      <w:pgBorders w:offsetFrom="page">
        <w:top w:val="basicBlackDots" w:sz="16" w:space="24" w:color="FF0000"/>
        <w:left w:val="basicBlackDots" w:sz="16" w:space="24" w:color="FF0000"/>
        <w:bottom w:val="basicBlackDots" w:sz="16" w:space="24" w:color="FF0000"/>
        <w:right w:val="basicBlackDots" w:sz="16" w:space="24" w:color="FF0000"/>
      </w:pgBorders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4F" w:rsidRDefault="00CF584F">
      <w:r>
        <w:separator/>
      </w:r>
    </w:p>
  </w:endnote>
  <w:endnote w:type="continuationSeparator" w:id="0">
    <w:p w:rsidR="00CF584F" w:rsidRDefault="00CF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4F" w:rsidRDefault="00CF584F">
      <w:r>
        <w:separator/>
      </w:r>
    </w:p>
  </w:footnote>
  <w:footnote w:type="continuationSeparator" w:id="0">
    <w:p w:rsidR="00CF584F" w:rsidRDefault="00CF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CE9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E1"/>
    <w:rsid w:val="00032D95"/>
    <w:rsid w:val="0003585A"/>
    <w:rsid w:val="002000E1"/>
    <w:rsid w:val="004C7752"/>
    <w:rsid w:val="005651E9"/>
    <w:rsid w:val="006C557C"/>
    <w:rsid w:val="00751637"/>
    <w:rsid w:val="008B5F04"/>
    <w:rsid w:val="008E68D4"/>
    <w:rsid w:val="00963792"/>
    <w:rsid w:val="00B20A8A"/>
    <w:rsid w:val="00B701FD"/>
    <w:rsid w:val="00CF584F"/>
    <w:rsid w:val="00E5432C"/>
    <w:rsid w:val="00EF3126"/>
    <w:rsid w:val="00F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2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752"/>
    <w:pPr>
      <w:spacing w:line="739" w:lineRule="exact"/>
      <w:jc w:val="center"/>
    </w:pPr>
  </w:style>
  <w:style w:type="paragraph" w:customStyle="1" w:styleId="Style2">
    <w:name w:val="Style2"/>
    <w:basedOn w:val="a"/>
    <w:uiPriority w:val="99"/>
    <w:rsid w:val="004C7752"/>
  </w:style>
  <w:style w:type="paragraph" w:customStyle="1" w:styleId="Style3">
    <w:name w:val="Style3"/>
    <w:basedOn w:val="a"/>
    <w:uiPriority w:val="99"/>
    <w:rsid w:val="004C7752"/>
    <w:pPr>
      <w:spacing w:line="326" w:lineRule="exact"/>
    </w:pPr>
  </w:style>
  <w:style w:type="paragraph" w:customStyle="1" w:styleId="Style4">
    <w:name w:val="Style4"/>
    <w:basedOn w:val="a"/>
    <w:uiPriority w:val="99"/>
    <w:rsid w:val="004C7752"/>
    <w:pPr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4C7752"/>
  </w:style>
  <w:style w:type="paragraph" w:customStyle="1" w:styleId="Style6">
    <w:name w:val="Style6"/>
    <w:basedOn w:val="a"/>
    <w:uiPriority w:val="99"/>
    <w:rsid w:val="004C7752"/>
    <w:pPr>
      <w:spacing w:line="372" w:lineRule="exact"/>
    </w:pPr>
  </w:style>
  <w:style w:type="character" w:customStyle="1" w:styleId="FontStyle11">
    <w:name w:val="Font Style11"/>
    <w:basedOn w:val="a0"/>
    <w:uiPriority w:val="99"/>
    <w:rsid w:val="004C7752"/>
    <w:rPr>
      <w:rFonts w:ascii="Bookman Old Style" w:hAnsi="Bookman Old Style" w:cs="Bookman Old Style"/>
      <w:b/>
      <w:bCs/>
      <w:spacing w:val="-10"/>
      <w:sz w:val="56"/>
      <w:szCs w:val="56"/>
    </w:rPr>
  </w:style>
  <w:style w:type="character" w:customStyle="1" w:styleId="FontStyle12">
    <w:name w:val="Font Style12"/>
    <w:basedOn w:val="a0"/>
    <w:uiPriority w:val="99"/>
    <w:rsid w:val="004C7752"/>
    <w:rPr>
      <w:rFonts w:ascii="Bookman Old Style" w:hAnsi="Bookman Old Style" w:cs="Bookman Old Style"/>
      <w:b/>
      <w:bCs/>
      <w:spacing w:val="-10"/>
      <w:sz w:val="58"/>
      <w:szCs w:val="58"/>
    </w:rPr>
  </w:style>
  <w:style w:type="character" w:customStyle="1" w:styleId="FontStyle13">
    <w:name w:val="Font Style13"/>
    <w:basedOn w:val="a0"/>
    <w:uiPriority w:val="99"/>
    <w:rsid w:val="004C7752"/>
    <w:rPr>
      <w:rFonts w:ascii="Bookman Old Style" w:hAnsi="Bookman Old Style" w:cs="Bookman Old Style"/>
      <w:b/>
      <w:bCs/>
      <w:spacing w:val="-20"/>
      <w:sz w:val="36"/>
      <w:szCs w:val="36"/>
    </w:rPr>
  </w:style>
  <w:style w:type="character" w:customStyle="1" w:styleId="FontStyle14">
    <w:name w:val="Font Style14"/>
    <w:basedOn w:val="a0"/>
    <w:uiPriority w:val="99"/>
    <w:rsid w:val="004C7752"/>
    <w:rPr>
      <w:rFonts w:ascii="Bookman Old Style" w:hAnsi="Bookman Old Style" w:cs="Bookman Old Style"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4C7752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sid w:val="004C7752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sid w:val="004C7752"/>
    <w:rPr>
      <w:rFonts w:ascii="Franklin Gothic Book" w:hAnsi="Franklin Gothic Book" w:cs="Franklin Gothic Book"/>
      <w:i/>
      <w:iCs/>
      <w:sz w:val="32"/>
      <w:szCs w:val="32"/>
    </w:rPr>
  </w:style>
  <w:style w:type="character" w:customStyle="1" w:styleId="FontStyle18">
    <w:name w:val="Font Style18"/>
    <w:basedOn w:val="a0"/>
    <w:uiPriority w:val="99"/>
    <w:rsid w:val="004C7752"/>
    <w:rPr>
      <w:rFonts w:ascii="Bookman Old Style" w:hAnsi="Bookman Old Style" w:cs="Bookman Old Style"/>
      <w:spacing w:val="-10"/>
      <w:sz w:val="32"/>
      <w:szCs w:val="32"/>
    </w:rPr>
  </w:style>
  <w:style w:type="character" w:styleId="a3">
    <w:name w:val="Hyperlink"/>
    <w:basedOn w:val="a0"/>
    <w:uiPriority w:val="99"/>
    <w:rsid w:val="004C775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2013-05-24T13:11:00Z</dcterms:created>
  <dcterms:modified xsi:type="dcterms:W3CDTF">2018-02-01T06:40:00Z</dcterms:modified>
</cp:coreProperties>
</file>